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20" w:right="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-182245</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4" w:lineRule="exact"/>
        <w:rPr>
          <w:sz w:val="24"/>
          <w:szCs w:val="24"/>
          <w:color w:val="auto"/>
        </w:rPr>
      </w:pPr>
    </w:p>
    <w:p>
      <w:pPr>
        <w:ind w:left="320"/>
        <w:spacing w:after="0" w:line="23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-535305</wp:posOffset>
            </wp:positionV>
            <wp:extent cx="113665" cy="113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5123815</wp:posOffset>
            </wp:positionH>
            <wp:positionV relativeFrom="paragraph">
              <wp:posOffset>-579755</wp:posOffset>
            </wp:positionV>
            <wp:extent cx="5588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0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-579755</wp:posOffset>
            </wp:positionV>
            <wp:extent cx="55880" cy="59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30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610870</wp:posOffset>
            </wp:positionV>
            <wp:extent cx="7003415" cy="889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8255"/>
                    </a:xfrm>
                    <a:prstGeom prst="rect">
                      <a:avLst/>
                    </a:prstGeom>
                    <a:noFill/>
                  </pic:spPr>
                </pic:pic>
              </a:graphicData>
            </a:graphic>
          </wp:anchor>
        </w:drawing>
      </w:r>
    </w:p>
    <w:p>
      <w:pPr>
        <w:spacing w:after="0" w:line="978" w:lineRule="exact"/>
        <w:rPr>
          <w:sz w:val="24"/>
          <w:szCs w:val="24"/>
          <w:color w:val="auto"/>
        </w:rPr>
      </w:pPr>
    </w:p>
    <w:p>
      <w:pPr>
        <w:sectPr>
          <w:pgSz w:w="11900" w:h="16838" w:orient="portrait"/>
          <w:cols w:equalWidth="0" w:num="2">
            <w:col w:w="2280" w:space="520"/>
            <w:col w:w="828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gridSpan w:val="10"/>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60"/>
              <w:spacing w:after="0"/>
              <w:rPr>
                <w:sz w:val="20"/>
                <w:szCs w:val="20"/>
                <w:color w:val="auto"/>
              </w:rPr>
            </w:pPr>
            <w:r>
              <w:rPr>
                <w:rFonts w:ascii="Arial" w:cs="Arial" w:eastAsia="Arial" w:hAnsi="Arial"/>
                <w:sz w:val="12"/>
                <w:szCs w:val="12"/>
                <w:color w:val="auto"/>
                <w:w w:val="98"/>
              </w:rPr>
              <w:t>5. Relationship of Reporting Person(s) to Issuer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3260" w:type="dxa"/>
            <w:vAlign w:val="bottom"/>
            <w:gridSpan w:val="8"/>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11"/>
          </w:tcPr>
          <w:p>
            <w:pPr>
              <w:spacing w:after="0" w:line="95"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Prelude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PRLD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3260" w:type="dxa"/>
            <w:vAlign w:val="bottom"/>
            <w:gridSpan w:val="8"/>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1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58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3260" w:type="dxa"/>
            <w:vAlign w:val="bottom"/>
            <w:gridSpan w:val="8"/>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420" w:type="dxa"/>
            <w:vAlign w:val="bottom"/>
          </w:tcPr>
          <w:p>
            <w:pPr>
              <w:spacing w:after="0"/>
              <w:rPr>
                <w:sz w:val="7"/>
                <w:szCs w:val="7"/>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gridSpan w:val="3"/>
            <w:vMerge w:val="restart"/>
          </w:tcPr>
          <w:p>
            <w:pPr>
              <w:ind w:left="18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11"/>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80" w:type="dxa"/>
            <w:vAlign w:val="bottom"/>
            <w:gridSpan w:val="11"/>
            <w:vMerge w:val="continue"/>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gridSpan w:val="8"/>
          </w:tcPr>
          <w:p>
            <w:pPr>
              <w:ind w:left="540"/>
              <w:spacing w:after="0"/>
              <w:rPr>
                <w:sz w:val="20"/>
                <w:szCs w:val="20"/>
                <w:color w:val="auto"/>
              </w:rPr>
            </w:pPr>
            <w:r>
              <w:rPr>
                <w:rFonts w:ascii="Times New Roman" w:cs="Times New Roman" w:eastAsia="Times New Roman" w:hAnsi="Times New Roman"/>
                <w:sz w:val="15"/>
                <w:szCs w:val="15"/>
                <w:color w:val="0000FF"/>
              </w:rPr>
              <w:t>06/09/2026</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3RD FLOOR</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5"/>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6"/>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80" w:type="dxa"/>
            <w:vAlign w:val="bottom"/>
            <w:gridSpan w:val="11"/>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300" w:type="dxa"/>
            <w:vAlign w:val="bottom"/>
            <w:gridSpan w:val="6"/>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11"/>
            <w:vMerge w:val="continue"/>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10014</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4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60" w:type="dxa"/>
            <w:vAlign w:val="bottom"/>
            <w:gridSpan w:val="5"/>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(State)</w:t>
            </w:r>
          </w:p>
        </w:tc>
        <w:tc>
          <w:tcPr>
            <w:tcW w:w="980" w:type="dxa"/>
            <w:vAlign w:val="bottom"/>
            <w:gridSpan w:val="3"/>
          </w:tcPr>
          <w:p>
            <w:pPr>
              <w:ind w:left="18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5"/>
          </w:tcPr>
          <w:p>
            <w:pPr>
              <w:spacing w:after="0"/>
              <w:rPr>
                <w:sz w:val="9"/>
                <w:szCs w:val="9"/>
                <w:color w:val="auto"/>
              </w:rPr>
            </w:pPr>
          </w:p>
        </w:tc>
        <w:tc>
          <w:tcPr>
            <w:tcW w:w="1860" w:type="dxa"/>
            <w:vAlign w:val="bottom"/>
            <w:tcBorders>
              <w:bottom w:val="single" w:sz="8" w:color="2C2C2C"/>
            </w:tcBorders>
            <w:gridSpan w:val="5"/>
          </w:tcPr>
          <w:p>
            <w:pPr>
              <w:spacing w:after="0"/>
              <w:rPr>
                <w:sz w:val="9"/>
                <w:szCs w:val="9"/>
                <w:color w:val="auto"/>
              </w:rPr>
            </w:pPr>
          </w:p>
        </w:tc>
        <w:tc>
          <w:tcPr>
            <w:tcW w:w="130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0" w:type="dxa"/>
            <w:vAlign w:val="bottom"/>
            <w:gridSpan w:val="21"/>
          </w:tcPr>
          <w:p>
            <w:pPr>
              <w:ind w:left="1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5"/>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3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gridSpan w:val="7"/>
          </w:tcPr>
          <w:p>
            <w:pPr>
              <w:ind w:left="1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26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0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Form: Direct (D)</w:t>
            </w: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7"/>
          </w:tcPr>
          <w:p>
            <w:pPr>
              <w:ind w:left="12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58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10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 (I)</w:t>
            </w: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Following Reported</w:t>
            </w:r>
          </w:p>
        </w:tc>
        <w:tc>
          <w:tcPr>
            <w:tcW w:w="10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87"/>
              </w:rPr>
              <w:t>Code</w:t>
            </w:r>
          </w:p>
        </w:tc>
        <w:tc>
          <w:tcPr>
            <w:tcW w:w="80" w:type="dxa"/>
            <w:vAlign w:val="bottom"/>
          </w:tcPr>
          <w:p>
            <w:pPr>
              <w:spacing w:after="0"/>
              <w:rPr>
                <w:sz w:val="10"/>
                <w:szCs w:val="10"/>
                <w:color w:val="auto"/>
              </w:rPr>
            </w:pPr>
          </w:p>
        </w:tc>
        <w:tc>
          <w:tcPr>
            <w:tcW w:w="4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5"/>
          </w:tcPr>
          <w:p>
            <w:pPr>
              <w:spacing w:after="0"/>
              <w:rPr>
                <w:sz w:val="6"/>
                <w:szCs w:val="6"/>
                <w:color w:val="auto"/>
              </w:rPr>
            </w:pPr>
          </w:p>
        </w:tc>
        <w:tc>
          <w:tcPr>
            <w:tcW w:w="3160" w:type="dxa"/>
            <w:vAlign w:val="bottom"/>
            <w:tcBorders>
              <w:bottom w:val="single" w:sz="8" w:color="2C2C2C"/>
            </w:tcBorders>
            <w:gridSpan w:val="7"/>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60" w:type="dxa"/>
            <w:vAlign w:val="bottom"/>
            <w:gridSpan w:val="19"/>
          </w:tcPr>
          <w:p>
            <w:pPr>
              <w:ind w:left="1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60" w:type="dxa"/>
            <w:vAlign w:val="bottom"/>
            <w:gridSpan w:val="17"/>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w w:val="95"/>
              </w:rPr>
              <w:t>6. Date Exercisable and</w:t>
            </w:r>
          </w:p>
        </w:tc>
        <w:tc>
          <w:tcPr>
            <w:tcW w:w="1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42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 Indirect</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2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1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of Securities</w:t>
            </w:r>
          </w:p>
        </w:tc>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13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 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Securities</w:t>
            </w:r>
          </w:p>
        </w:tc>
        <w:tc>
          <w:tcPr>
            <w:tcW w:w="12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spacing w:after="0"/>
              <w:rPr>
                <w:sz w:val="10"/>
                <w:szCs w:val="10"/>
                <w:color w:val="auto"/>
              </w:rPr>
            </w:pPr>
          </w:p>
        </w:tc>
        <w:tc>
          <w:tcPr>
            <w:tcW w:w="62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3"/>
              </w:rPr>
              <w:t>Underlying</w:t>
            </w:r>
          </w:p>
        </w:tc>
        <w:tc>
          <w:tcPr>
            <w:tcW w:w="500" w:type="dxa"/>
            <w:vAlign w:val="bottom"/>
          </w:tcPr>
          <w:p>
            <w:pPr>
              <w:spacing w:after="0"/>
              <w:rPr>
                <w:sz w:val="10"/>
                <w:szCs w:val="10"/>
                <w:color w:val="auto"/>
              </w:rPr>
            </w:pPr>
          </w:p>
        </w:tc>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Form:</w:t>
            </w:r>
          </w:p>
        </w:tc>
        <w:tc>
          <w:tcPr>
            <w:tcW w:w="6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Acquired (A)</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Direct (D)</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or Disposed</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 Indirect</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of (D) (Instr. 3,</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4 and 5)</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or</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320" w:type="dxa"/>
            <w:vAlign w:val="bottom"/>
          </w:tcPr>
          <w:p>
            <w:pPr>
              <w:spacing w:after="0"/>
              <w:rPr>
                <w:sz w:val="10"/>
                <w:szCs w:val="10"/>
                <w:color w:val="auto"/>
              </w:rPr>
            </w:pPr>
          </w:p>
        </w:tc>
        <w:tc>
          <w:tcPr>
            <w:tcW w:w="6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80" w:type="dxa"/>
            <w:vAlign w:val="bottom"/>
            <w:gridSpan w:val="3"/>
          </w:tcPr>
          <w:p>
            <w:pPr>
              <w:ind w:left="8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ind w:left="3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23"/>
                <w:szCs w:val="23"/>
                <w:color w:val="0000FF"/>
                <w:w w:val="85"/>
                <w:vertAlign w:val="subscript"/>
              </w:rPr>
              <w:t>See Footnotes</w:t>
            </w:r>
            <w:r>
              <w:rPr>
                <w:rFonts w:ascii="Times New Roman" w:cs="Times New Roman" w:eastAsia="Times New Roman" w:hAnsi="Times New Roman"/>
                <w:sz w:val="10"/>
                <w:szCs w:val="10"/>
                <w:color w:val="008000"/>
                <w:w w:val="85"/>
              </w:rPr>
              <w:t>(2)(3)(4)(5)(6)</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3.94</w:t>
            </w:r>
          </w:p>
        </w:tc>
        <w:tc>
          <w:tcPr>
            <w:tcW w:w="106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06/09/2026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60" w:type="dxa"/>
            <w:vAlign w:val="bottom"/>
            <w:gridSpan w:val="4"/>
          </w:tcPr>
          <w:p>
            <w:pPr>
              <w:ind w:left="80"/>
              <w:spacing w:after="0" w:line="178" w:lineRule="exact"/>
              <w:rPr>
                <w:sz w:val="20"/>
                <w:szCs w:val="20"/>
                <w:color w:val="auto"/>
              </w:rPr>
            </w:pPr>
            <w:r>
              <w:rPr>
                <w:rFonts w:ascii="Times New Roman" w:cs="Times New Roman" w:eastAsia="Times New Roman" w:hAnsi="Times New Roman"/>
                <w:sz w:val="12"/>
                <w:szCs w:val="12"/>
                <w:color w:val="0000FF"/>
              </w:rPr>
              <w:t>38,000</w:t>
            </w:r>
            <w:r>
              <w:rPr>
                <w:rFonts w:ascii="Times New Roman" w:cs="Times New Roman" w:eastAsia="Times New Roman" w:hAnsi="Times New Roman"/>
                <w:sz w:val="19"/>
                <w:szCs w:val="19"/>
                <w:color w:val="008000"/>
                <w:vertAlign w:val="superscript"/>
              </w:rPr>
              <w:t>(1)</w:t>
            </w:r>
          </w:p>
        </w:tc>
        <w:tc>
          <w:tcPr>
            <w:tcW w:w="4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0000FF"/>
              </w:rPr>
              <w:t>06/08/2036</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38,000</w:t>
            </w:r>
          </w:p>
        </w:tc>
        <w:tc>
          <w:tcPr>
            <w:tcW w:w="64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6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38,000</w:t>
            </w:r>
          </w:p>
        </w:tc>
        <w:tc>
          <w:tcPr>
            <w:tcW w:w="26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I</w:t>
            </w:r>
          </w:p>
        </w:tc>
        <w:tc>
          <w:tcPr>
            <w:tcW w:w="1320" w:type="dxa"/>
            <w:vAlign w:val="bottom"/>
            <w:gridSpan w:val="2"/>
            <w:vMerge w:val="continue"/>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8"/>
                <w:szCs w:val="8"/>
                <w:color w:val="0000FF"/>
              </w:rPr>
              <w:t>Option</w:t>
            </w: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160"/>
              <w:spacing w:after="0" w:line="85" w:lineRule="exact"/>
              <w:rPr>
                <w:sz w:val="20"/>
                <w:szCs w:val="20"/>
                <w:color w:val="auto"/>
              </w:rPr>
            </w:pPr>
            <w:r>
              <w:rPr>
                <w:rFonts w:ascii="Times New Roman" w:cs="Times New Roman" w:eastAsia="Times New Roman" w:hAnsi="Times New Roman"/>
                <w:sz w:val="8"/>
                <w:szCs w:val="8"/>
                <w:color w:val="0000FF"/>
              </w:rPr>
              <w:t>Stock</w:t>
            </w: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008000"/>
              </w:rPr>
              <w:t>(7)(8)</w:t>
            </w:r>
          </w:p>
        </w:tc>
        <w:tc>
          <w:tcPr>
            <w:tcW w:w="7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23"/>
                <w:szCs w:val="23"/>
                <w:color w:val="0000FF"/>
                <w:w w:val="85"/>
                <w:vertAlign w:val="subscript"/>
              </w:rPr>
              <w:t>See Footnotes</w:t>
            </w:r>
            <w:r>
              <w:rPr>
                <w:rFonts w:ascii="Times New Roman" w:cs="Times New Roman" w:eastAsia="Times New Roman" w:hAnsi="Times New Roman"/>
                <w:sz w:val="10"/>
                <w:szCs w:val="10"/>
                <w:color w:val="008000"/>
                <w:w w:val="85"/>
              </w:rPr>
              <w:t>(2)(4)(5)(6)(7)</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3.94</w:t>
            </w:r>
          </w:p>
        </w:tc>
        <w:tc>
          <w:tcPr>
            <w:tcW w:w="106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06/09/2026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60" w:type="dxa"/>
            <w:vAlign w:val="bottom"/>
            <w:gridSpan w:val="4"/>
          </w:tcPr>
          <w:p>
            <w:pPr>
              <w:ind w:left="80"/>
              <w:spacing w:after="0" w:line="190" w:lineRule="exact"/>
              <w:rPr>
                <w:sz w:val="20"/>
                <w:szCs w:val="20"/>
                <w:color w:val="auto"/>
              </w:rPr>
            </w:pPr>
            <w:r>
              <w:rPr>
                <w:rFonts w:ascii="Times New Roman" w:cs="Times New Roman" w:eastAsia="Times New Roman" w:hAnsi="Times New Roman"/>
                <w:sz w:val="12"/>
                <w:szCs w:val="12"/>
                <w:color w:val="0000FF"/>
              </w:rPr>
              <w:t>38,000</w:t>
            </w:r>
            <w:r>
              <w:rPr>
                <w:rFonts w:ascii="Times New Roman" w:cs="Times New Roman" w:eastAsia="Times New Roman" w:hAnsi="Times New Roman"/>
                <w:sz w:val="19"/>
                <w:szCs w:val="19"/>
                <w:color w:val="008000"/>
                <w:vertAlign w:val="superscript"/>
              </w:rPr>
              <w:t>(1)</w:t>
            </w:r>
          </w:p>
        </w:tc>
        <w:tc>
          <w:tcPr>
            <w:tcW w:w="4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6"/>
                <w:szCs w:val="16"/>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0000FF"/>
              </w:rPr>
              <w:t>06/08/2036</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38,000</w:t>
            </w:r>
          </w:p>
        </w:tc>
        <w:tc>
          <w:tcPr>
            <w:tcW w:w="64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6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38,000</w:t>
            </w:r>
          </w:p>
        </w:tc>
        <w:tc>
          <w:tcPr>
            <w:tcW w:w="26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I</w:t>
            </w:r>
          </w:p>
        </w:tc>
        <w:tc>
          <w:tcPr>
            <w:tcW w:w="1320" w:type="dxa"/>
            <w:vAlign w:val="bottom"/>
            <w:gridSpan w:val="2"/>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40" w:type="dxa"/>
            <w:vAlign w:val="bottom"/>
            <w:gridSpan w:val="3"/>
          </w:tcPr>
          <w:p>
            <w:pPr>
              <w:ind w:left="60"/>
              <w:spacing w:after="0" w:line="73" w:lineRule="exact"/>
              <w:rPr>
                <w:sz w:val="20"/>
                <w:szCs w:val="20"/>
                <w:color w:val="auto"/>
              </w:rPr>
            </w:pPr>
            <w:r>
              <w:rPr>
                <w:rFonts w:ascii="Times New Roman" w:cs="Times New Roman" w:eastAsia="Times New Roman" w:hAnsi="Times New Roman"/>
                <w:sz w:val="8"/>
                <w:szCs w:val="8"/>
                <w:color w:val="0000FF"/>
              </w:rPr>
              <w:t>Option</w:t>
            </w: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ind w:left="16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ind w:left="60"/>
              <w:spacing w:after="0" w:line="73" w:lineRule="exact"/>
              <w:rPr>
                <w:sz w:val="20"/>
                <w:szCs w:val="20"/>
                <w:color w:val="auto"/>
              </w:rPr>
            </w:pPr>
            <w:r>
              <w:rPr>
                <w:rFonts w:ascii="Times New Roman" w:cs="Times New Roman" w:eastAsia="Times New Roman" w:hAnsi="Times New Roman"/>
                <w:sz w:val="7"/>
                <w:szCs w:val="7"/>
                <w:color w:val="008000"/>
              </w:rPr>
              <w:t>(8)(9)</w:t>
            </w:r>
          </w:p>
        </w:tc>
        <w:tc>
          <w:tcPr>
            <w:tcW w:w="7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2C2C2C"/>
            </w:tcBorders>
            <w:gridSpan w:val="6"/>
          </w:tcPr>
          <w:p>
            <w:pPr>
              <w:ind w:left="60"/>
              <w:spacing w:after="0" w:line="209"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8"/>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3RD FLOOR</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6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0000FF"/>
              </w:rPr>
              <w:t>10014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1220" w:type="dxa"/>
            <w:vAlign w:val="bottom"/>
            <w:gridSpan w:val="4"/>
          </w:tcPr>
          <w:p>
            <w:pPr>
              <w:spacing w:after="0" w:line="204"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667, L.P.</w:t>
              </w:r>
            </w:hyperlink>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3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6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0000FF"/>
              </w:rPr>
              <w:t>10014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80" w:type="dxa"/>
            <w:vAlign w:val="bottom"/>
            <w:tcBorders>
              <w:bottom w:val="single" w:sz="8" w:color="2C2C2C"/>
            </w:tcBorders>
            <w:gridSpan w:val="4"/>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8"/>
          </w:tcPr>
          <w:p>
            <w:pPr>
              <w:spacing w:after="0" w:line="204"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Baker Bros. Advisors (GP) LLC</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-6189345</wp:posOffset>
            </wp:positionV>
            <wp:extent cx="27940" cy="253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40" cy="2538095"/>
                    </a:xfrm>
                    <a:prstGeom prst="rect">
                      <a:avLst/>
                    </a:prstGeom>
                    <a:noFill/>
                  </pic:spPr>
                </pic:pic>
              </a:graphicData>
            </a:graphic>
          </wp:anchor>
        </w:drawing>
      </w:r>
    </w:p>
    <w:p>
      <w:pPr>
        <w:sectPr>
          <w:pgSz w:w="11900" w:h="16838" w:orient="portrait"/>
          <w:cols w:equalWidth="0" w:num="1">
            <w:col w:w="11080"/>
          </w:cols>
          <w:pgMar w:left="460" w:top="210" w:right="359" w:bottom="0" w:gutter="0" w:footer="0" w:header="0"/>
          <w:type w:val="continuous"/>
        </w:sectPr>
      </w:pP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860 WASHINGTON STREET</w:t>
      </w:r>
    </w:p>
    <w:p>
      <w:pPr>
        <w:sectPr>
          <w:pgSz w:w="11900" w:h="16838" w:orient="portrait"/>
          <w:cols w:equalWidth="0" w:num="1">
            <w:col w:w="11080"/>
          </w:cols>
          <w:pgMar w:left="460" w:top="210" w:right="359" w:bottom="0" w:gutter="0" w:footer="0" w:header="0"/>
          <w:type w:val="continuous"/>
        </w:sectPr>
      </w:pPr>
    </w:p>
    <w:bookmarkStart w:id="1" w:name="page2"/>
    <w:bookmarkEnd w:id="1"/>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3RD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2810510" cy="5522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0510" cy="552259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2820" w:type="dxa"/>
            <w:vAlign w:val="bottom"/>
            <w:gridSpan w:val="5"/>
          </w:tcPr>
          <w:p>
            <w:pPr>
              <w:spacing w:after="0" w:line="204"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Baker Brothers Life Sciences LP</w:t>
              </w:r>
            </w:hyperlink>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3RD FLOOR</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7"/>
        </w:trPr>
        <w:tc>
          <w:tcPr>
            <w:tcW w:w="120" w:type="dxa"/>
            <w:vAlign w:val="bottom"/>
            <w:gridSpan w:val="2"/>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340" w:type="dxa"/>
            <w:vAlign w:val="bottom"/>
            <w:tcBorders>
              <w:bottom w:val="single" w:sz="8" w:color="2C2C2C"/>
            </w:tcBorders>
            <w:gridSpan w:val="3"/>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360" w:type="dxa"/>
            <w:vAlign w:val="bottom"/>
            <w:gridSpan w:val="3"/>
          </w:tcPr>
          <w:p>
            <w:pPr>
              <w:spacing w:after="0" w:line="204"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BAKER FELIX</w:t>
              </w:r>
            </w:hyperlink>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3RD FLOOR</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7"/>
        </w:trPr>
        <w:tc>
          <w:tcPr>
            <w:tcW w:w="120" w:type="dxa"/>
            <w:vAlign w:val="bottom"/>
            <w:gridSpan w:val="2"/>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340" w:type="dxa"/>
            <w:vAlign w:val="bottom"/>
            <w:tcBorders>
              <w:bottom w:val="single" w:sz="8" w:color="2C2C2C"/>
            </w:tcBorders>
            <w:gridSpan w:val="3"/>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360" w:type="dxa"/>
            <w:vAlign w:val="bottom"/>
            <w:gridSpan w:val="3"/>
          </w:tcPr>
          <w:p>
            <w:pPr>
              <w:spacing w:after="0" w:line="204" w:lineRule="exact"/>
              <w:rPr>
                <w:rFonts w:ascii="Times New Roman" w:cs="Times New Roman" w:eastAsia="Times New Roman" w:hAnsi="Times New Roman"/>
                <w:sz w:val="19"/>
                <w:szCs w:val="19"/>
                <w:color w:val="0000EE"/>
                <w:w w:val="98"/>
              </w:rPr>
            </w:pPr>
            <w:hyperlink r:id="rId21">
              <w:r>
                <w:rPr>
                  <w:rFonts w:ascii="Times New Roman" w:cs="Times New Roman" w:eastAsia="Times New Roman" w:hAnsi="Times New Roman"/>
                  <w:sz w:val="19"/>
                  <w:szCs w:val="19"/>
                  <w:color w:val="0000EE"/>
                  <w:w w:val="98"/>
                </w:rPr>
                <w:t>BAKER JULIAN</w:t>
              </w:r>
            </w:hyperlink>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4"/>
        </w:trPr>
        <w:tc>
          <w:tcPr>
            <w:tcW w:w="120" w:type="dxa"/>
            <w:vAlign w:val="bottom"/>
            <w:gridSpan w:val="2"/>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4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38,000 non-qualified stock options ("Stock Options") exercisable solely into common stock ("Common Stock") of Prelude Therapeutics Incorporated (the "Issuer") granted by the Issuer to Dr. Paul C. Scherer, a full-time employee of Baker Bros. Advisors LP (the "Adviser"), on June 9, 2026, in his capacity as a director of the Issuer, pursuant to the Issuer's 2020 Equity Incentive Plan (the "Incentive Plan"). The Stock Options have a strike price of $3.94 per share, and vest on the earlier of the first anniversary of the grant date or the date of the next annual meeting of stockholders of the Issuer, subject to Dr. Scherer's continued service on the board of directors of the Issuer (the "Board") through such vesting date or an earlier change in control of the Issuer. The Stock Options expire on June 8, 2036.</w:t>
      </w:r>
    </w:p>
    <w:p>
      <w:pPr>
        <w:spacing w:after="0" w:line="24"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Dr. Scherer serves on the Board as a representative of 667, L.P. ("667") and Baker Brothers Life Sciences, L.P. ("Life Sciences", and together with 667, the "Funds") and their affiliates and control persons.</w:t>
      </w:r>
    </w:p>
    <w:p>
      <w:pPr>
        <w:spacing w:after="0" w:line="40" w:lineRule="exact"/>
        <w:rPr>
          <w:rFonts w:ascii="Times New Roman" w:cs="Times New Roman" w:eastAsia="Times New Roman" w:hAnsi="Times New Roman"/>
          <w:sz w:val="12"/>
          <w:szCs w:val="12"/>
          <w:color w:val="008000"/>
        </w:rPr>
      </w:pPr>
    </w:p>
    <w:p>
      <w:pPr>
        <w:ind w:left="40" w:right="240" w:hanging="9"/>
        <w:spacing w:after="0" w:line="242"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 reported herein and as a result of their ownership interest in (i) Baker Biotech Capital, L.P. and (ii) 667, Julian C. Baker and Felix J. Baker each may be deemed to have an indirect pecuniary interest in the Stock Options reported in column 9 of Table II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3" w:lineRule="exact"/>
        <w:rPr>
          <w:rFonts w:ascii="Times New Roman" w:cs="Times New Roman" w:eastAsia="Times New Roman" w:hAnsi="Times New Roman"/>
          <w:sz w:val="12"/>
          <w:szCs w:val="12"/>
          <w:color w:val="008000"/>
        </w:rPr>
      </w:pPr>
    </w:p>
    <w:p>
      <w:pPr>
        <w:ind w:left="40" w:right="6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Adviser serves as the investment adviser to the Funds. In connection with the services provided by the Adviser, the Adviser receives an asset-based management fee that does not confer any pecuniary interest in the securities held for the benefit of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for the benefit of the Funds. The general partners of the Funds relinquished to the Adviser all discretion and authority with respect to the investment and voting power of the securities held for the benefit of the Funds.</w:t>
      </w:r>
    </w:p>
    <w:p>
      <w:pPr>
        <w:spacing w:after="0" w:line="24" w:lineRule="exact"/>
        <w:rPr>
          <w:rFonts w:ascii="Times New Roman" w:cs="Times New Roman" w:eastAsia="Times New Roman" w:hAnsi="Times New Roman"/>
          <w:sz w:val="12"/>
          <w:szCs w:val="12"/>
          <w:color w:val="008000"/>
        </w:rPr>
      </w:pPr>
    </w:p>
    <w:p>
      <w:pPr>
        <w:ind w:left="40" w:right="40" w:hanging="9"/>
        <w:spacing w:after="0" w:line="256"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Julian C. Baker, Felix J. Baker, the Adviser GP and the Adviser disclaim beneficial ownership of the securities held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15" w:lineRule="exact"/>
        <w:rPr>
          <w:rFonts w:ascii="Times New Roman" w:cs="Times New Roman" w:eastAsia="Times New Roman" w:hAnsi="Times New Roman"/>
          <w:sz w:val="12"/>
          <w:szCs w:val="12"/>
          <w:color w:val="008000"/>
        </w:rPr>
      </w:pPr>
    </w:p>
    <w:p>
      <w:pPr>
        <w:ind w:left="40" w:right="10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Dr. Scherer does not have a right to any of the Issuer's securities issued as compensation for his service on the Board and the Funds are entitled to an indirect proportionate pecuniary interest in such securities. The Funds each own an indirect proportionate pecuniary interest in such securities. Solely as a result of their ownership interest in (i) the general partners of the Funds and (ii) the Funds, Felix J. Baker and Julian C. Baker may be deemed to have an indirect pecuniary interest in the shares of Common Stock, Stock Options and Common Stock issued upon exercise of Stock Options (i.e. no direct pecuniary interest) issued as compensation for such Board service.</w:t>
      </w:r>
    </w:p>
    <w:p>
      <w:pPr>
        <w:spacing w:after="0" w:line="24"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the Adviser has voting and dispositive power over the Stock Options and any Common Stock received as a result of the exercise of the Stock Options.</w:t>
      </w:r>
    </w:p>
    <w:p>
      <w:pPr>
        <w:spacing w:after="0" w:line="40" w:lineRule="exact"/>
        <w:rPr>
          <w:rFonts w:ascii="Times New Roman" w:cs="Times New Roman" w:eastAsia="Times New Roman" w:hAnsi="Times New Roman"/>
          <w:sz w:val="12"/>
          <w:szCs w:val="12"/>
          <w:color w:val="008000"/>
        </w:rPr>
      </w:pPr>
    </w:p>
    <w:p>
      <w:pPr>
        <w:ind w:left="40" w:right="160" w:hanging="9"/>
        <w:spacing w:after="0" w:line="256"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acquisition of Stock Options reported on this form represents a single grant to Dr. Scherer of 38,000 Stock Options on Table II. This grant of 38,000 Stock Options to Dr. Scherer is reported for each of the Funds as each has an indirect pecuniary interest in such securities.</w:t>
      </w:r>
    </w:p>
    <w:p>
      <w:pPr>
        <w:spacing w:after="0" w:line="15" w:lineRule="exact"/>
        <w:rPr>
          <w:rFonts w:ascii="Times New Roman" w:cs="Times New Roman" w:eastAsia="Times New Roman" w:hAnsi="Times New Roman"/>
          <w:sz w:val="12"/>
          <w:szCs w:val="12"/>
          <w:color w:val="008000"/>
        </w:rPr>
      </w:pPr>
    </w:p>
    <w:p>
      <w:pPr>
        <w:ind w:left="40" w:right="4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 reported herein and as a result of their ownership interest in (i) Baker Brothers Life Sciences Capital, L.P. and (ii) Life Sciences, Julian C. Baker and Felix J. Baker each may be deemed to have an indirect pecuniary interest in the Stock Options reported in column 9 of Table II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56"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12"/>
          <w:szCs w:val="12"/>
          <w:color w:val="008000"/>
        </w:rPr>
        <w:t>Dr. Paul C. Scherer, a full-time employee of Baker Bros. Advisors LP, is a director of Prelude Therapeutics Incorporated (the "Issuer"). By virtue of their representation on the board of directors of the Issuer, for purposes of Section 16 of the Securities Exchange Act of 1934, as amended, the reporting persons are deemed directors by deputization of the Issuer.</w:t>
      </w:r>
    </w:p>
    <w:p>
      <w:pPr>
        <w:sectPr>
          <w:pgSz w:w="11900" w:h="16864" w:orient="portrait"/>
          <w:cols w:equalWidth="0" w:num="1">
            <w:col w:w="10940"/>
          </w:cols>
          <w:pgMar w:left="460" w:top="128" w:right="499" w:bottom="0" w:gutter="0" w:footer="0" w:header="0"/>
        </w:sectPr>
      </w:pPr>
    </w:p>
    <w:p>
      <w:pPr>
        <w:spacing w:after="0" w:line="3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By: Baker Bros.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169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69670"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880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880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50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50620" cy="7620"/>
                    </a:xfrm>
                    <a:prstGeom prst="rect">
                      <a:avLst/>
                    </a:prstGeom>
                    <a:noFill/>
                  </pic:spPr>
                </pic:pic>
              </a:graphicData>
            </a:graphic>
          </wp:anchor>
        </w:drawing>
      </w:r>
    </w:p>
    <w:p>
      <w:pPr>
        <w:spacing w:after="0" w:line="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292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Co. and Inv. Adviser to 667,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163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623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623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Baker Biotech Capital, L.P., GP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525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667, L.P.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284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0541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541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3060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06070" cy="7620"/>
                    </a:xfrm>
                    <a:prstGeom prst="rect">
                      <a:avLst/>
                    </a:prstGeom>
                    <a:noFill/>
                  </pic:spPr>
                </pic:pic>
              </a:graphicData>
            </a:graphic>
          </wp:anchor>
        </w:drawing>
      </w:r>
    </w:p>
    <w:p>
      <w:pPr>
        <w:spacing w:after="0" w:line="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By: Baker Bros.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2325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32535"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LLC,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887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887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0541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541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3060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060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352" w:lineRule="exact"/>
        <w:rPr>
          <w:sz w:val="20"/>
          <w:szCs w:val="20"/>
          <w:color w:val="auto"/>
        </w:rPr>
      </w:pPr>
    </w:p>
    <w:p>
      <w:pPr>
        <w:sectPr>
          <w:pgSz w:w="11900" w:h="16864" w:orient="portrait"/>
          <w:cols w:equalWidth="0" w:num="2">
            <w:col w:w="8720" w:space="80"/>
            <w:col w:w="2140"/>
          </w:cols>
          <w:pgMar w:left="460" w:top="128" w:right="499" w:bottom="0" w:gutter="0" w:footer="0" w:header="0"/>
          <w:type w:val="continuous"/>
        </w:sectPr>
      </w:pPr>
    </w:p>
    <w:p>
      <w:pPr>
        <w:ind w:left="6600"/>
        <w:spacing w:after="0"/>
        <w:tabs>
          <w:tab w:leader="none" w:pos="8780" w:val="left"/>
        </w:tabs>
        <w:rPr>
          <w:sz w:val="20"/>
          <w:szCs w:val="20"/>
          <w:color w:val="auto"/>
        </w:rPr>
      </w:pPr>
      <w:r>
        <w:rPr>
          <w:rFonts w:ascii="Times New Roman" w:cs="Times New Roman" w:eastAsia="Times New Roman" w:hAnsi="Times New Roman"/>
          <w:sz w:val="15"/>
          <w:szCs w:val="15"/>
          <w:color w:val="0000FF"/>
        </w:rPr>
        <w:t>Baker Bros. Advisors LP, Mgmt.</w:t>
        <w:tab/>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8484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Co. and Inv. Adviser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750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750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598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sectPr>
          <w:pgSz w:w="11900" w:h="16864" w:orient="portrait"/>
          <w:cols w:equalWidth="0" w:num="1">
            <w:col w:w="10940"/>
          </w:cols>
          <w:pgMar w:left="460" w:top="128" w:right="499" w:bottom="0" w:gutter="0" w:footer="0" w:header="0"/>
          <w:type w:val="continuous"/>
        </w:sectPr>
      </w:pPr>
    </w:p>
    <w:bookmarkStart w:id="2" w:name="page3"/>
    <w:bookmarkEnd w:id="2"/>
    <w:p>
      <w:pPr>
        <w:ind w:left="6569"/>
        <w:spacing w:after="0"/>
        <w:rPr>
          <w:sz w:val="20"/>
          <w:szCs w:val="20"/>
          <w:color w:val="auto"/>
        </w:rPr>
      </w:pPr>
      <w:r>
        <w:rPr>
          <w:rFonts w:ascii="Times New Roman" w:cs="Times New Roman" w:eastAsia="Times New Roman" w:hAnsi="Times New Roman"/>
          <w:sz w:val="15"/>
          <w:szCs w:val="15"/>
          <w:color w:val="0000FF"/>
        </w:rPr>
        <w:t>L.P., pursuant to authority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-3810</wp:posOffset>
            </wp:positionV>
            <wp:extent cx="13417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8"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Baker 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2788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Capital, L.P., GP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0217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02171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Brothers Life Sciences,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24079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4079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1880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8808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366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66395" cy="7620"/>
                    </a:xfrm>
                    <a:prstGeom prst="rect">
                      <a:avLst/>
                    </a:prstGeom>
                    <a:noFill/>
                  </pic:spPr>
                </pic:pic>
              </a:graphicData>
            </a:graphic>
          </wp:anchor>
        </w:drawing>
      </w:r>
    </w:p>
    <w:p>
      <w:pPr>
        <w:spacing w:after="0" w:line="30" w:lineRule="exact"/>
        <w:rPr>
          <w:sz w:val="20"/>
          <w:szCs w:val="20"/>
          <w:color w:val="auto"/>
        </w:rPr>
      </w:pPr>
    </w:p>
    <w:tbl>
      <w:tblPr>
        <w:tblLayout w:type="fixed"/>
        <w:tblInd w:w="6569" w:type="dxa"/>
        <w:tblCellMar>
          <w:top w:w="0" w:type="dxa"/>
          <w:left w:w="0" w:type="dxa"/>
          <w:bottom w:w="0" w:type="dxa"/>
          <w:right w:w="0" w:type="dxa"/>
        </w:tblCellMar>
      </w:tblPr>
      <w:tr>
        <w:trPr>
          <w:trHeight w:val="172"/>
        </w:trPr>
        <w:tc>
          <w:tcPr>
            <w:tcW w:w="19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 Felix J. Baker</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0000FF"/>
                <w:w w:val="99"/>
              </w:rPr>
              <w:t>06/10/2026</w:t>
            </w:r>
          </w:p>
        </w:tc>
      </w:tr>
      <w:tr>
        <w:trPr>
          <w:trHeight w:val="20"/>
        </w:trPr>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18"/>
        </w:trPr>
        <w:tc>
          <w:tcPr>
            <w:tcW w:w="19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 Julian C. Baker</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0000FF"/>
                <w:w w:val="99"/>
              </w:rPr>
              <w:t>06/10/2026</w:t>
            </w: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9"/>
        </w:trPr>
        <w:tc>
          <w:tcPr>
            <w:tcW w:w="196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40"/>
              <w:spacing w:after="0"/>
              <w:rPr>
                <w:sz w:val="20"/>
                <w:szCs w:val="20"/>
                <w:color w:val="auto"/>
              </w:rPr>
            </w:pPr>
            <w:r>
              <w:rPr>
                <w:rFonts w:ascii="Arial" w:cs="Arial" w:eastAsia="Arial" w:hAnsi="Arial"/>
                <w:sz w:val="12"/>
                <w:szCs w:val="12"/>
                <w:color w:val="auto"/>
              </w:rPr>
              <w:t>Date</w:t>
            </w:r>
          </w:p>
        </w:tc>
      </w:tr>
    </w:tbl>
    <w:p>
      <w:pPr>
        <w:spacing w:after="0" w:line="2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9" w:right="3099" w:hanging="9"/>
        <w:spacing w:after="0" w:line="339"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8"/>
      </w:cols>
      <w:pgMar w:left="491"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13" Type="http://schemas.openxmlformats.org/officeDocument/2006/relationships/hyperlink" Target="http://www.sec.gov/cgi-bin/browse-edgar?action=getcompany&amp;CIK=0001263508" TargetMode="External"/><Relationship Id="rId14" Type="http://schemas.openxmlformats.org/officeDocument/2006/relationships/hyperlink" Target="http://www.sec.gov/cgi-bin/browse-edgar?action=getcompany&amp;CIK=0001678660" TargetMode="External"/><Relationship Id="rId15" Type="http://schemas.openxmlformats.org/officeDocument/2006/relationships/hyperlink" Target="http://www.sec.gov/cgi-bin/browse-edgar?action=getcompany&amp;CIK=0001551139" TargetMode="External"/><Relationship Id="rId16" Type="http://schemas.openxmlformats.org/officeDocument/2006/relationships/hyperlink" Target="http://www.sec.gov/cgi-bin/browse-edgar?action=getcompany&amp;CIK=0001580575" TargetMode="External"/><Relationship Id="rId19" Type="http://schemas.openxmlformats.org/officeDocument/2006/relationships/hyperlink" Target="http://www.sec.gov/cgi-bin/browse-edgar?action=getcompany&amp;CIK=0001363364" TargetMode="External"/><Relationship Id="rId20" Type="http://schemas.openxmlformats.org/officeDocument/2006/relationships/hyperlink" Target="http://www.sec.gov/cgi-bin/browse-edgar?action=getcompany&amp;CIK=0001087940" TargetMode="External"/><Relationship Id="rId21" Type="http://schemas.openxmlformats.org/officeDocument/2006/relationships/hyperlink" Target="http://www.sec.gov/cgi-bin/browse-edgar?action=getcompany&amp;CIK=000108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2026-06-10T16:05:09Z</dcterms:created>
  <dcterms:modified xsi:type="dcterms:W3CDTF">2026-06-10T16:05:09Z</dcterms:modified>
</cp:coreProperties>
</file>